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41" w:rsidRDefault="0037742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9A4541" w:rsidRDefault="009A4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A4238" w:rsidRPr="002A4238" w:rsidRDefault="002A4238" w:rsidP="002A4238">
      <w:pPr>
        <w:tabs>
          <w:tab w:val="left" w:pos="9288"/>
        </w:tabs>
        <w:spacing w:after="0" w:line="252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</w:pPr>
      <w:r w:rsidRPr="002A4238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 xml:space="preserve">Ростовская область, Веселовский район, х. </w:t>
      </w:r>
      <w:proofErr w:type="spellStart"/>
      <w:r w:rsidRPr="002A4238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Нижнесоленый</w:t>
      </w:r>
      <w:proofErr w:type="spellEnd"/>
    </w:p>
    <w:p w:rsidR="002A4238" w:rsidRPr="002A4238" w:rsidRDefault="002A4238" w:rsidP="002A4238">
      <w:pPr>
        <w:tabs>
          <w:tab w:val="left" w:pos="9288"/>
        </w:tabs>
        <w:spacing w:after="0" w:line="252" w:lineRule="auto"/>
        <w:ind w:left="357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</w:pPr>
      <w:r w:rsidRPr="002A4238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Муниципальное бюджетное общеобразовательное учреждение</w:t>
      </w:r>
    </w:p>
    <w:p w:rsidR="002A4238" w:rsidRPr="002A4238" w:rsidRDefault="002A4238" w:rsidP="002A4238">
      <w:pPr>
        <w:tabs>
          <w:tab w:val="left" w:pos="9288"/>
        </w:tabs>
        <w:spacing w:after="0" w:line="252" w:lineRule="auto"/>
        <w:ind w:left="357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</w:pPr>
      <w:proofErr w:type="spellStart"/>
      <w:r w:rsidRPr="002A4238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Верхнесоленовская</w:t>
      </w:r>
      <w:proofErr w:type="spellEnd"/>
      <w:r w:rsidRPr="002A4238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 xml:space="preserve"> средняя  общеобразовательная школа</w:t>
      </w:r>
    </w:p>
    <w:p w:rsidR="002A4238" w:rsidRPr="002A4238" w:rsidRDefault="002A4238" w:rsidP="002A4238">
      <w:pPr>
        <w:tabs>
          <w:tab w:val="left" w:pos="9288"/>
        </w:tabs>
        <w:spacing w:after="160" w:line="252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МБОУ </w:t>
      </w:r>
      <w:proofErr w:type="spellStart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Верхнесоленовская</w:t>
      </w:r>
      <w:proofErr w:type="spellEnd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СОШ</w:t>
      </w: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2A4238" w:rsidRPr="002A4238">
          <w:pgSz w:w="11900" w:h="16840"/>
          <w:pgMar w:top="298" w:right="876" w:bottom="398" w:left="1440" w:header="720" w:footer="720" w:gutter="0"/>
          <w:cols w:space="720"/>
        </w:sect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СОГЛАСОВАНО </w:t>
      </w: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 xml:space="preserve">Заместитель директора по УВР </w:t>
      </w: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</w:t>
      </w:r>
      <w:proofErr w:type="spellStart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Стрельцова</w:t>
      </w:r>
      <w:proofErr w:type="spellEnd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М.М.</w:t>
      </w:r>
    </w:p>
    <w:tbl>
      <w:tblPr>
        <w:tblW w:w="0" w:type="auto"/>
        <w:tblInd w:w="1843" w:type="dxa"/>
        <w:tblLayout w:type="fixed"/>
        <w:tblLook w:val="04A0" w:firstRow="1" w:lastRow="0" w:firstColumn="1" w:lastColumn="0" w:noHBand="0" w:noVBand="1"/>
      </w:tblPr>
      <w:tblGrid>
        <w:gridCol w:w="4820"/>
        <w:gridCol w:w="2037"/>
      </w:tblGrid>
      <w:tr w:rsidR="002A4238" w:rsidRPr="002A4238" w:rsidTr="00022FF9">
        <w:trPr>
          <w:trHeight w:hRule="exact" w:val="490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Протокол №1</w:t>
            </w:r>
          </w:p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от </w:t>
            </w: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>.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Приказ № 135 .</w:t>
            </w:r>
          </w:p>
        </w:tc>
      </w:tr>
      <w:tr w:rsidR="002A4238" w:rsidRPr="002A4238" w:rsidTr="00022FF9">
        <w:trPr>
          <w:trHeight w:hRule="exact" w:val="490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«30.08.2022г»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«30.08.2022г.»</w:t>
            </w:r>
          </w:p>
        </w:tc>
      </w:tr>
    </w:tbl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РАБОЧАЯ ПРОГРАММА</w:t>
      </w:r>
    </w:p>
    <w:p w:rsidR="002A4238" w:rsidRPr="002A4238" w:rsidRDefault="002A4238" w:rsidP="002A4238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учеб</w:t>
      </w:r>
      <w:r w:rsidR="003774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ного предмета</w:t>
      </w:r>
      <w:r w:rsidR="003774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«Робототехника</w:t>
      </w:r>
      <w:bookmarkStart w:id="0" w:name="_GoBack"/>
      <w:bookmarkEnd w:id="0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»</w:t>
      </w:r>
    </w:p>
    <w:p w:rsidR="002A4238" w:rsidRPr="002A4238" w:rsidRDefault="002A4238" w:rsidP="002A4238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для  5 класса основного общего образования </w:t>
      </w: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на 2022-2023  учебный год</w:t>
      </w:r>
    </w:p>
    <w:p w:rsidR="002A4238" w:rsidRPr="002A4238" w:rsidRDefault="002A4238" w:rsidP="002A4238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Составитель: Горелкова Наталья Николаевна </w:t>
      </w: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учитель математики</w:t>
      </w: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2A4238" w:rsidP="002A423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</w:t>
      </w: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х. </w:t>
      </w:r>
      <w:proofErr w:type="spellStart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Нижнесолёный</w:t>
      </w:r>
      <w:proofErr w:type="spellEnd"/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2022 год</w:t>
      </w:r>
    </w:p>
    <w:p w:rsidR="002A4238" w:rsidRPr="002A4238" w:rsidRDefault="002A4238" w:rsidP="002A423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2A4238" w:rsidRPr="002A4238">
          <w:type w:val="continuous"/>
          <w:pgSz w:w="11900" w:h="16840"/>
          <w:pgMar w:top="298" w:right="876" w:bottom="398" w:left="1440" w:header="720" w:footer="720" w:gutter="0"/>
          <w:cols w:num="2" w:space="720" w:equalWidth="0">
            <w:col w:w="6052" w:space="0"/>
            <w:col w:w="3532"/>
          </w:cols>
        </w:sect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УТВЕРЖДЕНО </w:t>
      </w:r>
      <w:r w:rsidRPr="002A42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 xml:space="preserve">Директор школы </w:t>
      </w:r>
    </w:p>
    <w:p w:rsid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Вандюк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text" w:horzAnchor="page" w:tblpX="8365" w:tblpY="5"/>
        <w:tblW w:w="0" w:type="auto"/>
        <w:tblLayout w:type="fixed"/>
        <w:tblLook w:val="04A0" w:firstRow="1" w:lastRow="0" w:firstColumn="1" w:lastColumn="0" w:noHBand="0" w:noVBand="1"/>
      </w:tblPr>
      <w:tblGrid>
        <w:gridCol w:w="2037"/>
      </w:tblGrid>
      <w:tr w:rsidR="002A4238" w:rsidRPr="002A4238" w:rsidTr="002A4238">
        <w:trPr>
          <w:trHeight w:hRule="exact" w:val="490"/>
        </w:trPr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Приказ № 135 .</w:t>
            </w:r>
          </w:p>
        </w:tc>
      </w:tr>
      <w:tr w:rsidR="002A4238" w:rsidRPr="002A4238" w:rsidTr="002A4238">
        <w:trPr>
          <w:trHeight w:hRule="exact" w:val="490"/>
        </w:trPr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238" w:rsidRPr="002A4238" w:rsidRDefault="002A4238" w:rsidP="002A4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42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«30.08.2022г.»</w:t>
            </w:r>
          </w:p>
        </w:tc>
      </w:tr>
    </w:tbl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2A4238" w:rsidRPr="002A4238">
          <w:type w:val="nextColumn"/>
          <w:pgSz w:w="11900" w:h="16840"/>
          <w:pgMar w:top="298" w:right="876" w:bottom="398" w:left="1440" w:header="720" w:footer="720" w:gutter="0"/>
          <w:cols w:num="2" w:space="720" w:equalWidth="0">
            <w:col w:w="6052" w:space="0"/>
            <w:col w:w="3532"/>
          </w:cols>
        </w:sectPr>
      </w:pPr>
    </w:p>
    <w:p w:rsidR="002A4238" w:rsidRPr="002A4238" w:rsidRDefault="002A4238" w:rsidP="002A423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A4238" w:rsidRPr="002A4238" w:rsidRDefault="00AE5904" w:rsidP="00AE5904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E590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Пояснительная записка.</w:t>
      </w:r>
    </w:p>
    <w:p w:rsidR="00AE5904" w:rsidRPr="00AE5904" w:rsidRDefault="002A4238" w:rsidP="00AE5904">
      <w:pPr>
        <w:rPr>
          <w:rFonts w:ascii="Times New Roman" w:hAnsi="Times New Roman" w:cs="Times New Roman"/>
          <w:bCs/>
          <w:lang w:eastAsia="en-US"/>
        </w:rPr>
      </w:pPr>
      <w:r w:rsidRPr="002A42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bookmarkStart w:id="1" w:name="_gjdgxs" w:colFirst="0" w:colLast="0"/>
      <w:bookmarkEnd w:id="1"/>
      <w:r w:rsidR="00377428" w:rsidRPr="00AE5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AE5904" w:rsidRPr="00AE5904">
        <w:rPr>
          <w:rFonts w:ascii="Times New Roman" w:hAnsi="Times New Roman" w:cs="Times New Roman"/>
          <w:bCs/>
          <w:lang w:eastAsia="en-US"/>
        </w:rPr>
        <w:t xml:space="preserve">Рабочая программа данного учебного курса внеурочной деятельности  является частью Образовательной программы МБОУ </w:t>
      </w:r>
      <w:proofErr w:type="spellStart"/>
      <w:r w:rsidR="00AE5904" w:rsidRPr="00AE5904">
        <w:rPr>
          <w:rFonts w:ascii="Times New Roman" w:hAnsi="Times New Roman" w:cs="Times New Roman"/>
          <w:bCs/>
          <w:lang w:eastAsia="en-US"/>
        </w:rPr>
        <w:t>Верхнесоленовская</w:t>
      </w:r>
      <w:proofErr w:type="spellEnd"/>
      <w:r w:rsidR="00AE5904" w:rsidRPr="00AE5904">
        <w:rPr>
          <w:rFonts w:ascii="Times New Roman" w:hAnsi="Times New Roman" w:cs="Times New Roman"/>
          <w:bCs/>
          <w:lang w:eastAsia="en-US"/>
        </w:rPr>
        <w:t xml:space="preserve"> СОШ и разработана  в соответствии с Учебным планом МБОУ </w:t>
      </w:r>
      <w:proofErr w:type="spellStart"/>
      <w:r w:rsidR="00AE5904" w:rsidRPr="00AE5904">
        <w:rPr>
          <w:rFonts w:ascii="Times New Roman" w:hAnsi="Times New Roman" w:cs="Times New Roman"/>
          <w:bCs/>
          <w:lang w:eastAsia="en-US"/>
        </w:rPr>
        <w:t>Верхнесоленовская</w:t>
      </w:r>
      <w:proofErr w:type="spellEnd"/>
      <w:r w:rsidR="00AE5904" w:rsidRPr="00AE5904">
        <w:rPr>
          <w:rFonts w:ascii="Times New Roman" w:hAnsi="Times New Roman" w:cs="Times New Roman"/>
          <w:bCs/>
          <w:lang w:eastAsia="en-US"/>
        </w:rPr>
        <w:t xml:space="preserve"> СОШ на 2022 – 2023 учебный год,  в соответствии с требованиями федерального государственного образовательного стандарта основного общего образования (далее - ФГОС ООО), с учетом примерной основной образовательной программы основного общего образования (далее - ПООП ООО) и на основе следующих нормативно-правовых</w:t>
      </w:r>
      <w:proofErr w:type="gramEnd"/>
      <w:r w:rsidR="00AE5904" w:rsidRPr="00AE5904">
        <w:rPr>
          <w:rFonts w:ascii="Times New Roman" w:hAnsi="Times New Roman" w:cs="Times New Roman"/>
          <w:bCs/>
          <w:lang w:eastAsia="en-US"/>
        </w:rPr>
        <w:t xml:space="preserve"> документов:</w:t>
      </w:r>
    </w:p>
    <w:p w:rsidR="00AE5904" w:rsidRPr="00AE5904" w:rsidRDefault="00AE5904" w:rsidP="00AE5904">
      <w:p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u w:val="single"/>
          <w:lang w:eastAsia="en-US"/>
        </w:rPr>
        <w:t>Законы</w:t>
      </w:r>
      <w:r w:rsidRPr="00AE5904">
        <w:rPr>
          <w:rFonts w:ascii="Times New Roman" w:hAnsi="Times New Roman" w:cs="Times New Roman"/>
          <w:bCs/>
          <w:lang w:eastAsia="en-US"/>
        </w:rPr>
        <w:t>:</w:t>
      </w:r>
    </w:p>
    <w:p w:rsidR="00AE5904" w:rsidRPr="00AE5904" w:rsidRDefault="00AE5904" w:rsidP="00AE5904">
      <w:pPr>
        <w:numPr>
          <w:ilvl w:val="0"/>
          <w:numId w:val="34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Федеральный Закон «Об образовании в Российской Федерации» (от 29.12. 2012 № 273-ФЗ);</w:t>
      </w:r>
    </w:p>
    <w:p w:rsidR="00AE5904" w:rsidRPr="00AE5904" w:rsidRDefault="00AE5904" w:rsidP="00AE5904">
      <w:pPr>
        <w:numPr>
          <w:ilvl w:val="0"/>
          <w:numId w:val="34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AE5904" w:rsidRPr="00AE5904" w:rsidRDefault="00AE5904" w:rsidP="00AE5904">
      <w:pPr>
        <w:numPr>
          <w:ilvl w:val="0"/>
          <w:numId w:val="34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Областной закон от 14.11.2013  № 26-ЗС «Об образовании в Ростовской области». </w:t>
      </w:r>
    </w:p>
    <w:p w:rsidR="00AE5904" w:rsidRPr="00AE5904" w:rsidRDefault="00AE5904" w:rsidP="00AE5904">
      <w:p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u w:val="single"/>
          <w:lang w:eastAsia="en-US"/>
        </w:rPr>
        <w:t>Программы</w:t>
      </w:r>
      <w:r w:rsidRPr="00AE5904">
        <w:rPr>
          <w:rFonts w:ascii="Times New Roman" w:hAnsi="Times New Roman" w:cs="Times New Roman"/>
          <w:bCs/>
          <w:lang w:eastAsia="en-US"/>
        </w:rPr>
        <w:t>: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18 марта 2022 г. № 1/22);</w:t>
      </w:r>
    </w:p>
    <w:p w:rsidR="00AE5904" w:rsidRPr="00AE5904" w:rsidRDefault="00AE5904" w:rsidP="00AE5904">
      <w:p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u w:val="single"/>
          <w:lang w:eastAsia="en-US"/>
        </w:rPr>
        <w:t>Постановления</w:t>
      </w:r>
      <w:r w:rsidRPr="00AE5904">
        <w:rPr>
          <w:rFonts w:ascii="Times New Roman" w:hAnsi="Times New Roman" w:cs="Times New Roman"/>
          <w:bCs/>
          <w:lang w:eastAsia="en-US"/>
        </w:rPr>
        <w:t>:</w:t>
      </w:r>
    </w:p>
    <w:p w:rsidR="00AE5904" w:rsidRPr="00AE5904" w:rsidRDefault="00AE5904" w:rsidP="00AE5904">
      <w:pPr>
        <w:numPr>
          <w:ilvl w:val="0"/>
          <w:numId w:val="33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Постановление Главного государственного санитарного врача Российской Федерации от 27 октября 2020 года N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AE5904" w:rsidRPr="00AE5904" w:rsidRDefault="00AE5904" w:rsidP="00AE5904">
      <w:pPr>
        <w:numPr>
          <w:ilvl w:val="0"/>
          <w:numId w:val="33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E5904" w:rsidRPr="00AE5904" w:rsidRDefault="00AE5904" w:rsidP="00AE5904">
      <w:p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u w:val="single"/>
          <w:lang w:eastAsia="en-US"/>
        </w:rPr>
        <w:t>Приказы</w:t>
      </w:r>
      <w:r w:rsidRPr="00AE5904">
        <w:rPr>
          <w:rFonts w:ascii="Times New Roman" w:hAnsi="Times New Roman" w:cs="Times New Roman"/>
          <w:bCs/>
          <w:lang w:eastAsia="en-US"/>
        </w:rPr>
        <w:t>: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</w:t>
      </w:r>
      <w:r w:rsidRPr="00AE5904">
        <w:rPr>
          <w:rFonts w:ascii="Times New Roman" w:hAnsi="Times New Roman" w:cs="Times New Roman"/>
          <w:bCs/>
          <w:lang w:eastAsia="en-US"/>
        </w:rPr>
        <w:lastRenderedPageBreak/>
        <w:t>основного общего, среднего общего образования организациями, осуществляющими образовательную деятельность".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Приказ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Минпросвещения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Приказ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Минпросвещения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Приказ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приказ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07.10.2014 № 1307, от 09.04.2015 № 387);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приказ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E5904" w:rsidRPr="00AE5904" w:rsidRDefault="00AE5904" w:rsidP="00AE5904">
      <w:pPr>
        <w:rPr>
          <w:rFonts w:ascii="Times New Roman" w:hAnsi="Times New Roman" w:cs="Times New Roman"/>
          <w:bCs/>
          <w:u w:val="single"/>
          <w:lang w:eastAsia="en-US"/>
        </w:rPr>
      </w:pPr>
      <w:r w:rsidRPr="00AE5904">
        <w:rPr>
          <w:rFonts w:ascii="Times New Roman" w:hAnsi="Times New Roman" w:cs="Times New Roman"/>
          <w:bCs/>
          <w:u w:val="single"/>
          <w:lang w:eastAsia="en-US"/>
        </w:rPr>
        <w:t xml:space="preserve">Письма: 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>письмо от 20.07.2015 № 09-1774 «О направлении учебно-методических материалов»;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письмо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04.09.2015 № 08-1404 «Об отборе организаций, выпускающих учебные пособия»;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письмо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письмо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Минобрнауки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proofErr w:type="gramStart"/>
      <w:r w:rsidRPr="00AE5904">
        <w:rPr>
          <w:rFonts w:ascii="Times New Roman" w:hAnsi="Times New Roman" w:cs="Times New Roman"/>
          <w:bCs/>
          <w:lang w:eastAsia="en-US"/>
        </w:rPr>
        <w:t xml:space="preserve">письмо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Минпросвещения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письмо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lastRenderedPageBreak/>
        <w:t>Минпросвещения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обучающимися 5–11 классов по индивидуальному учебному плану». </w:t>
      </w:r>
      <w:proofErr w:type="gramEnd"/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Письмо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Минпросвещения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России и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Рособрнадзора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 по основным подходам к формированию графиков </w:t>
      </w:r>
    </w:p>
    <w:p w:rsidR="00AE5904" w:rsidRPr="00AE5904" w:rsidRDefault="00AE5904" w:rsidP="00AE5904">
      <w:pPr>
        <w:numPr>
          <w:ilvl w:val="0"/>
          <w:numId w:val="35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u w:val="single"/>
          <w:lang w:eastAsia="en-US"/>
        </w:rPr>
        <w:t>Школьные  документы:</w:t>
      </w:r>
    </w:p>
    <w:p w:rsidR="00AE5904" w:rsidRPr="00AE5904" w:rsidRDefault="00AE5904" w:rsidP="00AE5904">
      <w:pPr>
        <w:numPr>
          <w:ilvl w:val="0"/>
          <w:numId w:val="36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Устав МБОУ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Верхнесоленовская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СОШ (утвержден Постановлением Администрации Веселовского района от 24.11.2015 г. № 460)</w:t>
      </w:r>
    </w:p>
    <w:p w:rsidR="00AE5904" w:rsidRPr="00AE5904" w:rsidRDefault="00AE5904" w:rsidP="00AE5904">
      <w:pPr>
        <w:numPr>
          <w:ilvl w:val="0"/>
          <w:numId w:val="36"/>
        </w:num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Основная образовательная программа начального общего образования МБОУ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Верхнесоленовская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СОШ (утверждена приказом МБОУ </w:t>
      </w:r>
      <w:proofErr w:type="spellStart"/>
      <w:r w:rsidRPr="00AE5904">
        <w:rPr>
          <w:rFonts w:ascii="Times New Roman" w:hAnsi="Times New Roman" w:cs="Times New Roman"/>
          <w:bCs/>
          <w:lang w:eastAsia="en-US"/>
        </w:rPr>
        <w:t>Верхнесоленовская</w:t>
      </w:r>
      <w:proofErr w:type="spellEnd"/>
      <w:r w:rsidRPr="00AE5904">
        <w:rPr>
          <w:rFonts w:ascii="Times New Roman" w:hAnsi="Times New Roman" w:cs="Times New Roman"/>
          <w:bCs/>
          <w:lang w:eastAsia="en-US"/>
        </w:rPr>
        <w:t xml:space="preserve"> СОШ № 109 от 30.06.2022);</w:t>
      </w:r>
    </w:p>
    <w:p w:rsidR="00AE5904" w:rsidRPr="00AE5904" w:rsidRDefault="00AE5904" w:rsidP="00AE5904">
      <w:pPr>
        <w:rPr>
          <w:rFonts w:ascii="Times New Roman" w:hAnsi="Times New Roman" w:cs="Times New Roman"/>
          <w:bCs/>
          <w:lang w:eastAsia="en-US"/>
        </w:rPr>
      </w:pPr>
      <w:r w:rsidRPr="00AE5904">
        <w:rPr>
          <w:rFonts w:ascii="Times New Roman" w:hAnsi="Times New Roman" w:cs="Times New Roman"/>
          <w:bCs/>
          <w:lang w:eastAsia="en-US"/>
        </w:rPr>
        <w:t xml:space="preserve">3. В соответствии с разделом </w:t>
      </w:r>
      <w:r w:rsidRPr="00AE5904">
        <w:rPr>
          <w:rFonts w:ascii="Times New Roman" w:hAnsi="Times New Roman" w:cs="Times New Roman"/>
          <w:bCs/>
          <w:lang w:val="en-US" w:eastAsia="en-US"/>
        </w:rPr>
        <w:t>VI</w:t>
      </w:r>
      <w:r w:rsidRPr="00AE5904">
        <w:rPr>
          <w:rFonts w:ascii="Times New Roman" w:hAnsi="Times New Roman" w:cs="Times New Roman"/>
          <w:bCs/>
          <w:lang w:eastAsia="en-US"/>
        </w:rPr>
        <w:t xml:space="preserve">, таблицей 6.6  СанПиН 1.2.3685-21 продолжительность </w:t>
      </w:r>
      <w:r w:rsidRPr="00AE590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урока для </w:t>
      </w:r>
      <w:r w:rsidRPr="00AE5904">
        <w:rPr>
          <w:rFonts w:ascii="Times New Roman" w:hAnsi="Times New Roman" w:cs="Times New Roman"/>
          <w:bCs/>
          <w:lang w:eastAsia="en-US"/>
        </w:rPr>
        <w:t>5-6 классов - 30 мин.</w:t>
      </w:r>
    </w:p>
    <w:p w:rsidR="00AE5904" w:rsidRPr="00AE5904" w:rsidRDefault="00AE5904" w:rsidP="00AE5904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E59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377428" w:rsidRPr="00AE5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590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Место курса.</w:t>
      </w:r>
    </w:p>
    <w:p w:rsidR="00AE5904" w:rsidRDefault="00AE5904" w:rsidP="00AE5904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AE5904">
        <w:rPr>
          <w:rFonts w:ascii="Times New Roman" w:hAnsi="Times New Roman" w:cs="Times New Roman"/>
          <w:bCs/>
          <w:sz w:val="24"/>
          <w:szCs w:val="24"/>
          <w:lang w:eastAsia="en-US"/>
        </w:rPr>
        <w:t>Учебный курс предназначен для обучающихся 5 класса в рамках внеурочной деятельности.</w:t>
      </w:r>
      <w:proofErr w:type="gramEnd"/>
      <w:r w:rsidRPr="00AE590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Рассчитан на 1 час в неделю. Продолжительность урока 30 минут. </w:t>
      </w:r>
    </w:p>
    <w:p w:rsidR="00AE5904" w:rsidRPr="00AE5904" w:rsidRDefault="00AE5904" w:rsidP="00AE5904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E590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Содержание курса внеурочной деятельности</w:t>
      </w:r>
    </w:p>
    <w:p w:rsidR="00AE5904" w:rsidRPr="00AE5904" w:rsidRDefault="00AE5904" w:rsidP="00AE5904">
      <w:pPr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A4541" w:rsidRPr="00377428" w:rsidRDefault="00AE5904" w:rsidP="00AE5904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7742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77428"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используется для работы в </w:t>
      </w:r>
      <w:r w:rsidR="00377428"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лаборатории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«Т</w:t>
      </w:r>
      <w:r w:rsidR="00377428"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очка роста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77428"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377428"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на основе следующих</w:t>
      </w:r>
      <w:r w:rsidR="00377428"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нормативно-правовых документов:</w:t>
      </w:r>
    </w:p>
    <w:p w:rsidR="009A4541" w:rsidRPr="00377428" w:rsidRDefault="0037742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9A4541" w:rsidRPr="00377428" w:rsidRDefault="0037742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9A4541" w:rsidRPr="00377428" w:rsidRDefault="0037742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среднего общего образования;</w:t>
      </w:r>
    </w:p>
    <w:p w:rsidR="009A4541" w:rsidRPr="00377428" w:rsidRDefault="0037742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рная программа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внеклассной роботе ФГОС для средней школы;</w:t>
      </w:r>
    </w:p>
    <w:p w:rsidR="009A4541" w:rsidRPr="00377428" w:rsidRDefault="0037742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среднего общего образования ГБОУ СОШ «ОЦ»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п.г.т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Рощинский</w:t>
      </w:r>
      <w:proofErr w:type="spellEnd"/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автоматизация достигла такого уровня, при котором технические объекты выполняют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функции по обработке материальных предметов, но и начинают выполнять обслуживание и планирование. Человекоподобные роботы уже выполняют функции секретарей и гидов. Робототехника уже выделена в отдельную отрасль.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Робототехника - это проектирование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конструирование и программирование всевозможных интеллектуальных механизмов - роботов, имеющих модульную структуру и обладающих мощными микропроцессорами.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человечество практически вплотную подошло к тому моменту, когда роботы будут использоваться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сферах жизнедеятельности. Поэтому курсы робототехники и компьютерного программирования необходимо вводить в образовательные учреждения.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робототехники позволяет решить следующие задачи, которые стоят перед информатикой как учебным предмето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м. А именно, рассмотрение линии алгоритмизация и программирование, исполнитель, основы логики и логические основы компьютера.</w:t>
      </w:r>
    </w:p>
    <w:p w:rsidR="009A4541" w:rsidRDefault="0037742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Также изучение робототехники возможно в курсе математики (реализация основных математических операций, конструирование роботов), 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ехнологии (конструирование роботов, как по стандартным сборкам, так и произвольно), физики (сборка деталей конструктора, 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 для движения робота-шасси)</w:t>
      </w:r>
    </w:p>
    <w:p w:rsidR="00377428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Курс </w:t>
      </w: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«Основы робототехники»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</w:t>
      </w: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5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создание условий для изучения основ алгоритмизации и программирования с использованием робота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NXT, развития научно-технического и творческого потенциала личности ребёнка путём организации его деятельности в процессе интеграции начального 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нженерно-технического конструирования и основ робототехники.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конструированию роботов на базе микропроцессора NXT;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научить работать в среде программирования LEGO MINDSTORMS NXT EDUCATION;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развить творческие способности и логическое мышление обучающихся;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развить умение выстраивать гипотезу и сопоставлять с полученным результатом;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развить образное, техническое мышление и умение выразить свой замысел;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развить умения работать по предлож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 инструкциям по сборке моделей;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развить умения творчески подходить к решению задачи;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обучить навыкам моделирования поставленной задачи;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развить умения применять знания из различных областей знаний;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развить умения излагать мысли в четкой логич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еской последовательности, отстаивать свою точку зрения, анализировать ситуацию и самостоятельно находить ответы на вопросы путем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логических рассуждений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обучить навыкам проведения физического эксперимента.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качестве платформы для создания роботов испол</w:t>
      </w: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ьзуется конструктор </w:t>
      </w:r>
      <w:proofErr w:type="spellStart"/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NXT.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занятиях по робототехнике осуществляется работа с конструкторами серии LEGO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создания программы, по которой будет действовать модель, используется специальный язык программирования LEGO MINDSTORMS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NXT EDUCATION.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Конструктор LEGO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школьникам в форме познавательной игры узнать многие важные идеи и развить необходимые в дальнейшей жизни навыки.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-робот поможет в рамках изучения данной темы понять основы робототехники, наглядно ре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ализовать сложные алгоритмы, рассмотреть вопросы, связанные с автоматизацией производственных процессов и процессов управления. Робот рассматривается в рамках концепции исполнителя, которая используется в курсе информатики при изучении программирования. Од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 в отличие от множества традиционных учебных исполнителей, которые помогают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разобраться в довольно сложной теме,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-роботы действуют в реальном мире, что не только увеличивает мотивационную составляющую изучаемого материала, но вносит в 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исследовательский компонент.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по программе формируют специальные технические умения, развивают аккуратность, усидчивость, организованность, нацеленность на результат. Работает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базе компьютерного контроллера NXT, который предст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авляет собой двойной микропроцессор,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Flash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-памяти в каждом из которых более 256 кбайт,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-модуль, USB-интерфейс, а также экран из жидких кристаллов, блок батареек, громкоговоритель, порты датчиков и сервоприводов. Именно в NXT заложен огромный потен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 возможностей конструктора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Память контроллера содержит программы, которые можно самостоятельно загружать с компьютера. Информацию с компьютера можно передавать как при помощи кабеля USB, так и используя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Кроме того, используя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осуществлять управление роботом при помощи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мобильного телефона. Для этого потребуется всего лишь установить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специальное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-приложение.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нагрузка планируется исходя из педагогической и психологической целесообразности с учётом психологических и физических особенностей де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тей среднего школьного возраста. Большая часть учебного времени отводится на практические занятия и соревнования, созданных учащимися, роботов, что позволяет постоянно поддерживать творческий настрой, сохранять увлечённость, развивать чувство гордости за р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езультаты своего труда и достижения своих товарищей.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тематического планирования из года в год может частично меняться и корректироваться. В план могут вноситься изменения, отражающие реальные события, обновления существующей материально-техничес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кой базы, а так же новые достижения в области робототехники.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Отличительные особенности программы: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основе своих конструкторов. Настоящий курс предлагает использование образовательных конструкторов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NXT как инструмента для обучения школьников конструированию, моделированию и компьютерному управлению на уроках робототехники. Простота в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из разных областей знания – от теории механики до психологии.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предполагает использование компьютеров совместно с конструкторами. Важно отметить, что компьютер используется как средство управления моделью; его использование направлено на состав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возможности развития индивидуальных творческих способностей и формирование умений взаимодействовать в коллективе, работать в группе.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Используются такие педагогические технологии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обучение в сотрудничестве, индивидуализация и дифференциация обучения, пр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оектные методы обучения, технологии использования в обучении игровых методов, информационно-коммуникационные технологии.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контроля и оценки образовательных результатов.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Текущий контроль уровня усвоения материала осуществляется по результатам выполнен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обучающихся практических  заданий.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контроль реализуется в форме соревнований по робототехнике.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Предполагаемые результаты освоения курса: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изучения курса «Основы робототехники» направлен на формирование следующих компетенций: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общекультурн</w:t>
      </w: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компетенции (</w:t>
      </w:r>
      <w:proofErr w:type="gramStart"/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</w:t>
      </w:r>
      <w:proofErr w:type="gramEnd"/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владеет культурой мышления,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обобщению, анализу, восприятию информации, постановке  цели и выбору путей её достижения (ОК-1);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логически верно, аргументировано и ясно строить устную и письменную речь (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- 6);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 к взаимодействию с коллегами, к работе в коллективе (ОК-7);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 (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- 8);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lastRenderedPageBreak/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способен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сущность и значение информации в развитии современного информационного общества (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- 12);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навыки публичной речи, ведения дискуссии и полемики (ОК-16);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общепрофессиональные компетенции (ОПК):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осознает социальную значимость своей будущей профессии, обладает мотивацией к осуществлению профессиональной деятельности (ОПК-1);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систематизированные теоретические и практические знания гуманитарных, социальных и экономических наук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решении социальных и профессиональных задач (ОПК-2);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специальные компетенции (СК):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 применять знания теоретической информатики, фундаментальной и прикладной математики для анализа и синтеза информационных систем и процессов (СК-1);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 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 (СК-2);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владеет современными формализованными математическими, инфо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рмационно-логическими и логико-семантическими моделями и методами представления, сбора и обработки информации (СК-3);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• 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реализовывать аналитические и технологические решении в области программного обеспечения и компьютерной обработки информации (С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К-4);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деятельности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Проектная деятельность; Работа в парах, в группах; Соревнования; Знакомство с Интернет-ресурсами, связанными с робототехникой.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A4541" w:rsidRPr="00377428" w:rsidRDefault="00377428">
      <w:pPr>
        <w:shd w:val="clear" w:color="auto" w:fill="F5F5F5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работы, используемые на занятиях:</w:t>
      </w:r>
    </w:p>
    <w:p w:rsidR="009A4541" w:rsidRPr="00377428" w:rsidRDefault="00377428">
      <w:pPr>
        <w:shd w:val="clear" w:color="auto" w:fill="F5F5F5"/>
        <w:spacing w:after="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- лекция; беседа; демонстрация; задание по образцу (с 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спользованием инструкции); практика; творческая работа; проектная деятельность.</w:t>
      </w:r>
      <w:proofErr w:type="gramEnd"/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 с установленным программным обеспечением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ПервоРобот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NXT 2.1 (LEGO MINDSTORMS NXT EDUCATION);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проектор;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 «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ПервоРобот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NX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T» (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NXT - 9797);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Поля для соревнования роботов NXT;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средний ресурсный (конструктор 9695);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Аккумуляторная батарея DC к микрокомпьютеру;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Зарядное устройство;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Адаптер 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USB;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датчики для микрокомпьютера:</w:t>
      </w:r>
    </w:p>
    <w:p w:rsidR="009A4541" w:rsidRPr="00377428" w:rsidRDefault="00377428">
      <w:pPr>
        <w:numPr>
          <w:ilvl w:val="1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расстояния,</w:t>
      </w:r>
    </w:p>
    <w:p w:rsidR="009A4541" w:rsidRPr="00377428" w:rsidRDefault="00377428">
      <w:pPr>
        <w:numPr>
          <w:ilvl w:val="1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цвета,</w:t>
      </w:r>
    </w:p>
    <w:p w:rsidR="009A4541" w:rsidRPr="00377428" w:rsidRDefault="00377428">
      <w:pPr>
        <w:numPr>
          <w:ilvl w:val="1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освещённости,</w:t>
      </w:r>
    </w:p>
    <w:p w:rsidR="009A4541" w:rsidRPr="00377428" w:rsidRDefault="00377428">
      <w:pPr>
        <w:numPr>
          <w:ilvl w:val="1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звука,</w:t>
      </w:r>
    </w:p>
    <w:p w:rsidR="009A4541" w:rsidRPr="00377428" w:rsidRDefault="00377428">
      <w:pPr>
        <w:numPr>
          <w:ilvl w:val="1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касания,</w:t>
      </w:r>
    </w:p>
    <w:p w:rsidR="009A4541" w:rsidRPr="00377428" w:rsidRDefault="00377428">
      <w:pPr>
        <w:numPr>
          <w:ilvl w:val="1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температуры;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образовательный ресурс.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ПервоРобот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NXT 2.0. Введение в Робототехнику.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 (Названия деталей, Основные блоки программы LEGO MINDSTORMS NXT EDUCATION);</w:t>
      </w:r>
    </w:p>
    <w:p w:rsidR="009A4541" w:rsidRPr="00377428" w:rsidRDefault="0037742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с заданиями для учащихся.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</w:t>
      </w: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держание учебного материала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год обучения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Введение в робототехнику (1 час</w:t>
      </w: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робототехнику: интеграция информатики, кибернетики, физики. Перспективы обучения. Законы робототехники. Инструктаж по ТБ. Знакомство с конструктором.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Механика (10</w:t>
      </w: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ча</w:t>
      </w: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сов)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принципы крепления деталей. Проект «Марсианин». Центр тяжести. Строительство высокой башни. Хватательный механизм. Виды механических передач. Зубчатая и ременная передача. Передаточное отношение. Повышающая передача. Проект «Волчок». Понижа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передача. Проект «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Силовая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крутилка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»». Червячная передача. Проект «Подъёмник».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Движение (10 часов)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Стационарные моторные механизмы. Сервомоторы. Одномоторный гонщик. Шагающие роботы. Преодоление горки. Введение в робототехнику (проектирование роботов). Знакомство с контроллером NXT. Одномоторная тележка. Встроенные программы NXT. Двухмоторная тележка. П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 «Полный вперёд!»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Основы управления роботом (13 часов</w:t>
      </w: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Программирование в LEGO MINDSTORMS NXT EDUCATION. Знакомство со средой программирования. Создание и загрузка в NXT простейших программ. Движение вперёд, назад, ускорение.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Двухмоторная тележка. Лин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ейный алгоритм. Повороты: плавный, резкий, разворот на месте. Циклический алгоритм. Рисование траекторий движения: круг, квадрат, восьмёрка, цветок.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 звука. Алгоритмы с ветвящейся структурой. Решение простейших задач: обнаружение звука. Включение и в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ыключение робота «по хлопку».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Инфракрасный датчик. Решение простейших задач: Определение расстояния. Контроль расстояния. «Бейсбол роботов».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 освещённости. Решение простейших задач: Движение по линии. Соревнования роботов «Весёлые старты!». Решение п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ростейших задач: Обнаружение черты. «Вальс роботов».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Датчики касания, цвета. Решение простейших задач: Обнаружение касания, Сенсорный датчик, Реакция на цвет. Проект «Путешествие по комнате».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роботов: Езда по линии с препятствиями; Перетягиван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каната;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Кегельринг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Личностные, </w:t>
      </w:r>
      <w:proofErr w:type="spellStart"/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предметные результаты изучения курса «Основы робототехники»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Личностные результаты: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 личностным результатам освоения курса можно отнести: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справед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ливости, ответственности;</w:t>
      </w:r>
    </w:p>
    <w:p w:rsidR="009A4541" w:rsidRPr="00377428" w:rsidRDefault="0037742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начало профессионального самоопределения, ознакомление с миром профессий, связанных с робототехникой.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результаты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Регулятивные универсальные учебные действия: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учебную задачу;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послед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овательность шагов алгоритма для достижения цели;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ставить цель – создание творческой работы, планировать достижение этой цели;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способ и результат действия;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ктивы в действия в случае расхождения результата решения задачи на основе ее оценки и учета характера сделанных ошибок;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способы решения проблем творческого характера в жизненных ситуациях;</w:t>
      </w:r>
    </w:p>
    <w:p w:rsidR="009A4541" w:rsidRPr="00377428" w:rsidRDefault="0037742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Познавательные универсальные учебные действия: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 информационных и коммуникационных технологий для решения коммуникативных, познавательных и творческих задач;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разнообразие способов решения задач;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сравнение, классификацию по заданным критериям;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аналогии, причинно-следственные связи;</w:t>
      </w:r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моделировать,  преобразовывать объект из чувственной формы в модель,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9A4541" w:rsidRPr="00377428" w:rsidRDefault="0037742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синтезировать,  составлять целое из частей, в том числе самостоятельное достраивание с восполнением недостающих компонентов;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Коммуникативные универса</w:t>
      </w: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льные учебные действия: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выслушивать собеседника и вести диалог;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возможность существования различных точек зрения и прав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каждого иметь свою;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учебное сотрудничество с учителем и сверстниками - определять цели, функций участников, способов взаимодействия;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постановку вопросов - инициативное сотрудничество в поиске и сборе информации;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разрешать конфликты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поведением партнера - контроль, коррекция, оценка его действий;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с достаточной полнотой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 точностью выражать свои мысли в соответствии с задачами и условиями коммуникации;</w:t>
      </w:r>
    </w:p>
    <w:p w:rsidR="009A4541" w:rsidRPr="00377428" w:rsidRDefault="0037742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монологической и диалогической формами речи.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Предметные результаты: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окончании обучения учащиеся должны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знать: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правила безопасной работы;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основные компоненты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конструкторов ЛЕГО;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конструктивные особенности различных моделей, сооружений и механизмов;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компьютерную среду, включающую в себя графический язык программирования;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виды подвижных и неподвижных соединений в конструкторе;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конструктивные особенности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роботов;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 передавать программы NXT;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 использовать созданные программы;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приемы и опыт конструирования с использованием специальных элементов, и других объектов и т.д.;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основные алгоритмические конструкции, этапы решения задач с испол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ьзованием ЭВМ.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использовать основные алгоритмические конструкции для решения задач;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конструировать различные модели; использовать созданные программы;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применять полученные знания в практической деятельности;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навыками работы с робота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навыками работы в среде LEGO MINDSTORMS NXT EDUCATION.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74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Литература для учителя:</w:t>
      </w:r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Робототехника для детей и родителей.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С.А.Филиппов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СПб: Наука, 2010.</w:t>
      </w:r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Санкт-Петербургские олимпиады по кибернетике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М.С.Ананьевский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Г.И.Болтунов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Ю.Е.Зайцев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А.С.Матвеев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А.Л.Фрадков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В.В.Шиегин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Под ред.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А.Л.Фрадкова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М.С.Ананьевского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СПб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Наука, 2006.</w:t>
      </w:r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 «Компьютерные инструменты в школе», подборка статей за 2010 г.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«Основы робототехники на базе конструктора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NXT».</w:t>
      </w:r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аспекты изучения темы «Основы робототехники» с использованием 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Выпускная квалификационная работа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Пророковой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</w:t>
      </w:r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http://www.legoeducation.info/nxt/resources/build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ing-guides/</w:t>
      </w:r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hyperlink r:id="rId6">
        <w:r w:rsidRPr="00377428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http://www.legoengineering.com/</w:t>
        </w:r>
      </w:hyperlink>
    </w:p>
    <w:p w:rsidR="009A4541" w:rsidRPr="00377428" w:rsidRDefault="00377428">
      <w:pPr>
        <w:numPr>
          <w:ilvl w:val="0"/>
          <w:numId w:val="6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ttp://robotor.ru</w:t>
      </w:r>
    </w:p>
    <w:p w:rsidR="009A4541" w:rsidRPr="00377428" w:rsidRDefault="009A4541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74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Литература для ученика:</w:t>
      </w:r>
    </w:p>
    <w:p w:rsidR="009A4541" w:rsidRPr="00377428" w:rsidRDefault="00377428">
      <w:pPr>
        <w:numPr>
          <w:ilvl w:val="0"/>
          <w:numId w:val="9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Робототехника для детей и родителей.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С.А.Филиппов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СПб: Наука, 2010.</w:t>
      </w:r>
    </w:p>
    <w:p w:rsidR="009A4541" w:rsidRPr="00377428" w:rsidRDefault="00377428">
      <w:pPr>
        <w:numPr>
          <w:ilvl w:val="0"/>
          <w:numId w:val="9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Санкт-Петербургские олимпиады по кибернетике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М.С.Ананьевский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Г.И.Болтунов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Ю.Е.Зайцев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А.С.Матвеев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А.Л.Фрадков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В.В.Шиегин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Под ред.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А.Л.Фрадкова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М.С.Ананьевского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СПб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Наука, 2006.</w:t>
      </w:r>
    </w:p>
    <w:p w:rsidR="009A4541" w:rsidRPr="00377428" w:rsidRDefault="00377428">
      <w:pPr>
        <w:numPr>
          <w:ilvl w:val="0"/>
          <w:numId w:val="9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 «Компьютерные инструменты в школе», подборка статей за 2010 г.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«Основы робототехники на базе конструктора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NXT».</w:t>
      </w:r>
    </w:p>
    <w:p w:rsidR="009A4541" w:rsidRPr="00377428" w:rsidRDefault="00377428">
      <w:pPr>
        <w:numPr>
          <w:ilvl w:val="0"/>
          <w:numId w:val="9"/>
        </w:numPr>
        <w:shd w:val="clear" w:color="auto" w:fill="F5F5F5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робот. Айзек Азимов. Серия: Библиотека приключений. М: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, 2002.</w:t>
      </w:r>
    </w:p>
    <w:p w:rsidR="009A4541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</w:p>
    <w:p w:rsid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77428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9A4541">
      <w:pPr>
        <w:shd w:val="clear" w:color="auto" w:fill="F5F5F5"/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F5F5F5"/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 xml:space="preserve">                          </w:t>
      </w:r>
      <w:r w:rsidRPr="003774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Контрольно-измерительные материалы</w:t>
      </w:r>
    </w:p>
    <w:p w:rsidR="009A4541" w:rsidRPr="00377428" w:rsidRDefault="00377428">
      <w:pPr>
        <w:shd w:val="clear" w:color="auto" w:fill="F5F5F5"/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Регламент проведения соревнований в номинациях Езда по линии и Езда по траектории </w:t>
      </w: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 препятствиями.</w:t>
      </w:r>
    </w:p>
    <w:p w:rsidR="009A4541" w:rsidRPr="00377428" w:rsidRDefault="00377428">
      <w:pPr>
        <w:shd w:val="clear" w:color="auto" w:fill="F5F5F5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соревнований «езда по траектории» используется поле №1 (рисунок 1)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Трасса</w:t>
      </w:r>
    </w:p>
    <w:p w:rsidR="009A4541" w:rsidRPr="00377428" w:rsidRDefault="00377428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полигона - белый.</w:t>
      </w:r>
    </w:p>
    <w:p w:rsidR="009A4541" w:rsidRPr="00377428" w:rsidRDefault="00377428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линии – черный.</w:t>
      </w:r>
    </w:p>
    <w:p w:rsidR="009A4541" w:rsidRPr="00377428" w:rsidRDefault="00377428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Ширина линии - 50 мм.</w:t>
      </w:r>
    </w:p>
    <w:p w:rsidR="009A4541" w:rsidRPr="00377428" w:rsidRDefault="00377428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 радиус кривизны линии – 300 мм.</w:t>
      </w:r>
    </w:p>
    <w:p w:rsidR="009A4541" w:rsidRPr="00377428" w:rsidRDefault="00377428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старта/финиша – желтые.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9F89733" wp14:editId="00CD6223">
            <wp:extent cx="6191250" cy="3152775"/>
            <wp:effectExtent l="0" t="0" r="0" b="0"/>
            <wp:docPr id="1" name="image1.png" descr="hello_html_3902f67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ello_html_3902f67b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15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541" w:rsidRPr="00377428" w:rsidRDefault="00377428">
      <w:pPr>
        <w:shd w:val="clear" w:color="auto" w:fill="F5F5F5"/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Рисунок 1 (Поле №1)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Виды соревнований: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 На скорость прохождения трассы.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 Езда с объездом препятствий, установленных на трассе.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Используемые роботы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 Размеры робота должны быть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таковы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бы он в стоячем положении вписывался в цилиндр диаметром 25 см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 Робот должен быть сконструирован таким образом, чтобы не наносить механических повреждений полю для соревнований.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 Вес робота не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превышать 2 кг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 Робот должен выполнять задачу автономно на основании показаний датчиков, либо ехать по программе.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 Другие ограничения на конструкцию роботов отсутствуют.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Соревнования по прохождению трассы на скорость.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соревнован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ий – пройти трассу максимально быстро, не опрокинувшись, без остановок и не сходя с линии. Выигрывает участник, робот которого сделает это быстрее всех остальных.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соревнований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 Для проведения настройки робота, каждому участнику дается 5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 перед основным заездом.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 Робот, выполняющий задание, устанавливается перед отметкой «старт» на линию и должен оставаться неподвижным вплоть до команды «старт», подаваемой судьёй.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     По сигналу судьи, участник включает своего робота и то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 начинает движение. При этом участник максимально быстро покидает стартовую зону. Одновременно с этим судья включает секундомер.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 Началом отсчета времени заезда является момент пересечения передней частью робота стартовой линии. Окончанием отсчета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 заезда является момент пересечения передней частью робота финишной линии.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      Робот должен проехать 2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круга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которых выбирается лучший по времени.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 Во время проведения состязания участники команд не должны касаться роботов.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  Попытка заканчивается если: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 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коснулся робота.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 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коснулся одного из объектов соревнования.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 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Окончилось максимальное время состязания (2 минуты).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 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 находится полностью в зоне финиша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  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Зафиксированы любые другие нарушения пр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авил.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Дисквалификация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 Робот, который остановился, сломался, не в состоянии продолжать движение или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опрокинулся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дисквалифицированным и выбывает из соревнований.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сошедший с трассы (не вернувшийся на нее в течение 5 секунд),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дисквалифицированным и выбывает из соревнований.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 Если робот потеряет линию более чем на 5 секунд и/или «срежет» траекторию движения, он будет дисквалифицирован.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(Покидание линии, при котором никакая часть робота не находится над линией,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допустимо только по касательной и не должно быть больше чем три длины корпуса робота.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Длина робота в этом случае считается по колесной базе.)</w:t>
      </w:r>
      <w:proofErr w:type="gramEnd"/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Езда с объездом препятствий, установленных на трассе.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соревнований – без ошибок и максимально быстро пройти трассу с препятствиями.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Проведение соревнований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 Для проведения настройки робота, каждому участнику дается 5 минут перед основным заездом.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 Робот, выполняющий задание, устанавливает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любое стояночное поле белого цвета, выделенное пунктиром, на краю трассы.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 По сигналу судьи, участник включает своего робота, после чего тот должен покинуть стояночное место и выехать на трассу.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 Одновременно с началом движения робота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, судья запускает секундомер и начинается отсчет времени прохождения трассы. Время одной попытки устанавливается изначально как 1.5 минуты.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 На трассе установлены препятствия в виде пустых алюминиевых банок, которые робот должен объехать, не задев,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вернуться на трассу. Также, на трассе могут быть установлены мостики и туннели. Ширина проездов в туннеле и ширина мостиков соответствуют ширине трассы. Высота туннелей 20 см.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 За прохождение каждого препятствия, робот либо получает -10 секунд к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 попытки, либо 15 баллов, в случае если робот не достигнет финиша.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  Если робот не преодолеет всю траекторию, то ему за прохождение каждой четверти дистанции будет присуждаться по 10 баллов.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8.       Роботам разрешается съезжать с трассы для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объезда препятствий. При этом время преодоления одного препятствия должно составлять не более 15-ти секунд.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       По окончании прохождения трассы, робот должен занять положение на той парковочной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площадке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которой выехал при старте.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   Победителем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объявлена команда, потратившая на преодоление дистанции наименьшее время, а если такие команды не определяться, то победитель будет выбрана команда, получившая максимум очков.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Дисквалификация: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       Робот, который остановился, сломался, не в состо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янии продолжать движение или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опрокинулся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дисквалифицированным и выбывает из соревнований.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сошедший с трассы (не вернувшийся на нее в течение 5 секунд за исключением участков объезда препятствий), считается дисквалифицированным и вы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 из соревнований.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Робот, не сумевший объехать препятствие за 15 секунд считается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дисквалифицированным и выбывает из соревнований.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Регламент соревнования </w:t>
      </w:r>
      <w:proofErr w:type="spellStart"/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Кегельринг</w:t>
      </w:r>
      <w:proofErr w:type="spellEnd"/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- МАКРО.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состязания:</w:t>
      </w:r>
    </w:p>
    <w:p w:rsidR="009A4541" w:rsidRPr="00377428" w:rsidRDefault="00377428">
      <w:pPr>
        <w:numPr>
          <w:ilvl w:val="0"/>
          <w:numId w:val="7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состязания на ринге расставляют 8 кеглей: 4 кегли белого цвета и 4 - черного; робот ставится в центр ринга;</w:t>
      </w:r>
    </w:p>
    <w:p w:rsidR="009A4541" w:rsidRPr="00377428" w:rsidRDefault="00377428">
      <w:pPr>
        <w:numPr>
          <w:ilvl w:val="0"/>
          <w:numId w:val="7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за отведенное на поединок время робот, не выходя за пределы круга, очерчивающего ринг, должен вытолкнуть 4 кегли белого цвета. После 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ого, как робот вытолкнул все кегли белого цвета, поединок останавливается и прошедшее время считается временем поединка. За выталкивание из круга черных кеглей назначается штрафное время. Если робот не успел вытолкнуть за время раунда все белые кегли, за к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аждую пропущенную белую кеглю также назначается штрафное время. Выигрывает робот, получивший в сумме минимальное время, равное времени поединка с назначенным штрафным временем;</w:t>
      </w:r>
    </w:p>
    <w:p w:rsidR="009A4541" w:rsidRPr="00377428" w:rsidRDefault="00377428">
      <w:pPr>
        <w:numPr>
          <w:ilvl w:val="0"/>
          <w:numId w:val="7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очистку ринга от белых кеглей дается 1 минута. По окончании отведенного для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времени робот должен остановиться;</w:t>
      </w:r>
    </w:p>
    <w:p w:rsidR="009A4541" w:rsidRPr="00377428" w:rsidRDefault="00377428">
      <w:pPr>
        <w:numPr>
          <w:ilvl w:val="0"/>
          <w:numId w:val="7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состязания участники команд не должны касаться роботов, кеглей или ринга.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Игровое поле: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поля - светлый;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ограничительной линии - черный;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диаметр ринга -1м (белый круг);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ширина ограничительной линии - 50 мм.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Кегли представляют собой жестяные цилиндры и изготовлены из пустых стандартных жестяных банок (330 мл), использующихся для напитков. Кегля обтягивается ватманом или бумагой (либо белого, либо черного цвета). Диаметр ке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гли - 70 мм. Высота кегли - 120 мм. Вес кегли - не более 50 гр.</w:t>
      </w:r>
    </w:p>
    <w:p w:rsidR="009A4541" w:rsidRPr="00377428" w:rsidRDefault="00377428">
      <w:pPr>
        <w:shd w:val="clear" w:color="auto" w:fill="F5F5F5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23A8DB0" wp14:editId="7B5A82E2">
            <wp:extent cx="3571875" cy="3038475"/>
            <wp:effectExtent l="0" t="0" r="0" b="0"/>
            <wp:docPr id="3" name="image3.png" descr="hello_html_m4aff039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ello_html_m4aff039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3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lastRenderedPageBreak/>
        <w:br/>
      </w: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Робот:</w:t>
      </w:r>
    </w:p>
    <w:p w:rsidR="009A4541" w:rsidRPr="00377428" w:rsidRDefault="009A4541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color w:val="000000"/>
          <w:sz w:val="24"/>
          <w:szCs w:val="24"/>
        </w:rPr>
      </w:pPr>
    </w:p>
    <w:p w:rsidR="009A4541" w:rsidRPr="00377428" w:rsidRDefault="00377428">
      <w:pPr>
        <w:numPr>
          <w:ilvl w:val="1"/>
          <w:numId w:val="1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ширина робота - 20 см, длина - 20 см; высота и вес робота не ограничены; робот должен быть автономным;</w:t>
      </w:r>
    </w:p>
    <w:p w:rsidR="009A4541" w:rsidRPr="00377428" w:rsidRDefault="00377428">
      <w:pPr>
        <w:numPr>
          <w:ilvl w:val="1"/>
          <w:numId w:val="1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соревнования размеры робота должны оставаться неизмен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и не должны выходить за пределы 20 х 20 см;</w:t>
      </w:r>
    </w:p>
    <w:p w:rsidR="009A4541" w:rsidRPr="00377428" w:rsidRDefault="00377428">
      <w:pPr>
        <w:numPr>
          <w:ilvl w:val="1"/>
          <w:numId w:val="1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 не должен иметь никаких приспособлений для выталкивания кеглей (механических, пневматических, вибрационных, акустических и др.); робот должен выталкивать кегли исключительно своим корпусом; запрещено 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каких-либо клейких приспособлений на корпусе робота для сбора кеглей;</w:t>
      </w:r>
    </w:p>
    <w:p w:rsidR="009A4541" w:rsidRPr="00377428" w:rsidRDefault="00377428">
      <w:pPr>
        <w:numPr>
          <w:ilvl w:val="1"/>
          <w:numId w:val="1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 должен уметь различать черные и белые банки. При проверке робот должен выталкивать белые банки и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избегать черные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робот не различает цветов банок, он дисквалифици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Регламент соревнования </w:t>
      </w:r>
      <w:proofErr w:type="spellStart"/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Робо</w:t>
      </w:r>
      <w:proofErr w:type="spellEnd"/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-Сумо.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матча Сумо.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Матч разыгрывается между двумя командами, в каждой один или более участников. Только один участник команды может подходить к рингу, остальные должны наблюдать из зрительного зала. В соответс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твии с правилами игры, каждая команда выставляет на ринг робота, удовлетворяющего требованиям в подпункте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Матч начинается по команде судьи и продолжается, пока команда не набирает два очка. Судья определяет победителя матча.</w:t>
      </w:r>
    </w:p>
    <w:p w:rsidR="009A4541" w:rsidRPr="00377428" w:rsidRDefault="00377428">
      <w:pPr>
        <w:numPr>
          <w:ilvl w:val="0"/>
          <w:numId w:val="12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Робот:</w:t>
      </w:r>
    </w:p>
    <w:p w:rsidR="009A4541" w:rsidRPr="00377428" w:rsidRDefault="00377428">
      <w:pPr>
        <w:numPr>
          <w:ilvl w:val="0"/>
          <w:numId w:val="13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помещаться в квадратную коробку размеров 15x15 см, высота робота не ограничена;</w:t>
      </w:r>
    </w:p>
    <w:p w:rsidR="009A4541" w:rsidRPr="00377428" w:rsidRDefault="00377428">
      <w:pPr>
        <w:numPr>
          <w:ilvl w:val="0"/>
          <w:numId w:val="13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масса робота в начале матча должна быть меньше 1000 г;</w:t>
      </w:r>
    </w:p>
    <w:p w:rsidR="009A4541" w:rsidRPr="00377428" w:rsidRDefault="00377428">
      <w:pPr>
        <w:numPr>
          <w:ilvl w:val="0"/>
          <w:numId w:val="13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увеличиваться в размерах после начала матча, но не должен физически разделяться на части, и должен ост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аваться одним цельным роботом. Роботы, нарушающие эти запреты, проигрывают матч. Части робота общей массой не более 5 г, выпадающие из робота, не приводят к проигрышу матча;</w:t>
      </w:r>
    </w:p>
    <w:p w:rsidR="009A4541" w:rsidRPr="00377428" w:rsidRDefault="00377428">
      <w:pPr>
        <w:numPr>
          <w:ilvl w:val="0"/>
          <w:numId w:val="13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 автономным. Любые механизмы управления разрешены, если все их компонен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ты находятся на роботе, и механизм не взаимодействует с внешней системой управления (человеком, машиной и т.д.).</w:t>
      </w:r>
    </w:p>
    <w:p w:rsidR="009A4541" w:rsidRPr="00377428" w:rsidRDefault="00377428">
      <w:pPr>
        <w:numPr>
          <w:ilvl w:val="0"/>
          <w:numId w:val="13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робот получает номер на регистрации.</w:t>
      </w:r>
    </w:p>
    <w:p w:rsidR="009A4541" w:rsidRPr="00377428" w:rsidRDefault="00377428">
      <w:pPr>
        <w:numPr>
          <w:ilvl w:val="0"/>
          <w:numId w:val="14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 робота.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 не должен иметь детали, которые могут сломать или повредить ринг.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ны:</w:t>
      </w:r>
    </w:p>
    <w:p w:rsidR="009A4541" w:rsidRPr="00377428" w:rsidRDefault="00377428">
      <w:pPr>
        <w:numPr>
          <w:ilvl w:val="0"/>
          <w:numId w:val="28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устройства, которые могут хранить жидкость, порошок, газ или другие вещества для выпускания в сторону соперника;</w:t>
      </w:r>
    </w:p>
    <w:p w:rsidR="009A4541" w:rsidRPr="00377428" w:rsidRDefault="00377428">
      <w:pPr>
        <w:numPr>
          <w:ilvl w:val="0"/>
          <w:numId w:val="28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огнеопасные устройства;</w:t>
      </w:r>
    </w:p>
    <w:p w:rsidR="009A4541" w:rsidRPr="00377428" w:rsidRDefault="00377428">
      <w:pPr>
        <w:numPr>
          <w:ilvl w:val="0"/>
          <w:numId w:val="28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устройства, бросающие предметы в соперника;</w:t>
      </w:r>
    </w:p>
    <w:p w:rsidR="009A4541" w:rsidRPr="00377428" w:rsidRDefault="00377428">
      <w:pPr>
        <w:numPr>
          <w:ilvl w:val="0"/>
          <w:numId w:val="28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липкие вещества для улучшения сцепления запрещены. Шины и другие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компоненты робота, контактирующие с рингом, не должны быть способны по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д-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удерживать стандартный лист А4 (80 г/м ) более, чем 2 секунды;</w:t>
      </w:r>
    </w:p>
    <w:p w:rsidR="009A4541" w:rsidRPr="00377428" w:rsidRDefault="00377428">
      <w:pPr>
        <w:numPr>
          <w:ilvl w:val="0"/>
          <w:numId w:val="28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 для увеличения прижимной силы, такие как вакуумные насосы и магниты.</w:t>
      </w:r>
    </w:p>
    <w:p w:rsidR="009A4541" w:rsidRPr="00377428" w:rsidRDefault="00377428">
      <w:pPr>
        <w:numPr>
          <w:ilvl w:val="0"/>
          <w:numId w:val="29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в конструкции робота.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частники имеют право на оперативное конструктивное изменение робота между раундами и матчами (в </w:t>
      </w: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. - ремонт, замена элементов питания и проч.), если внесенные изменения не противоречат требованиям, предъявляемых к конструкции робота и не нарушают регламе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нтов соревнований.</w:t>
      </w:r>
    </w:p>
    <w:p w:rsidR="009A4541" w:rsidRPr="00377428" w:rsidRDefault="00377428">
      <w:pPr>
        <w:numPr>
          <w:ilvl w:val="0"/>
          <w:numId w:val="30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рингу Сумо.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зона ринга определяется как игровая поверхность, окружённая белой линией, включая её саму. Всё за её пределами считается внешней зоной ринга.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рингу:</w:t>
      </w:r>
    </w:p>
    <w:p w:rsidR="009A4541" w:rsidRPr="00377428" w:rsidRDefault="00377428">
      <w:pPr>
        <w:numPr>
          <w:ilvl w:val="0"/>
          <w:numId w:val="31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ринг должен быть круглой формы и соответствующих классу размеров;</w:t>
      </w:r>
    </w:p>
    <w:p w:rsidR="009A4541" w:rsidRPr="00377428" w:rsidRDefault="00377428">
      <w:pPr>
        <w:numPr>
          <w:ilvl w:val="0"/>
          <w:numId w:val="31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 маркируется белой линией по окружности шириной соответствующей классу. Внутренняя зона ринга простирается до внешнего края этой линии;</w:t>
      </w:r>
    </w:p>
    <w:p w:rsidR="009A4541" w:rsidRPr="00377428" w:rsidRDefault="00377428">
      <w:pPr>
        <w:numPr>
          <w:ilvl w:val="0"/>
          <w:numId w:val="31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всех указанных размеров возможно отклонение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</w:t>
      </w:r>
      <w:r w:rsidRPr="003774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5%</w:t>
      </w:r>
      <w:r w:rsidRPr="00377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9A4541" w:rsidRPr="00377428" w:rsidRDefault="00377428">
      <w:pPr>
        <w:shd w:val="clear" w:color="auto" w:fill="F5F5F5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Высота</w:t>
      </w:r>
    </w:p>
    <w:p w:rsidR="009A4541" w:rsidRPr="00377428" w:rsidRDefault="00377428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Диаметр</w:t>
      </w:r>
    </w:p>
    <w:p w:rsidR="009A4541" w:rsidRPr="00377428" w:rsidRDefault="003774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Ширина границы</w:t>
      </w:r>
    </w:p>
    <w:p w:rsidR="009A4541" w:rsidRPr="00377428" w:rsidRDefault="00377428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</w:p>
    <w:p w:rsidR="009A4541" w:rsidRPr="00377428" w:rsidRDefault="003774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Минимальное свободное пространство</w:t>
      </w:r>
    </w:p>
    <w:p w:rsidR="009A4541" w:rsidRPr="00377428" w:rsidRDefault="00377428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2,5 см</w:t>
      </w:r>
    </w:p>
    <w:p w:rsidR="009A4541" w:rsidRPr="00377428" w:rsidRDefault="00377428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77 см</w:t>
      </w:r>
    </w:p>
    <w:p w:rsidR="009A4541" w:rsidRPr="00377428" w:rsidRDefault="003774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2,5 см</w:t>
      </w:r>
    </w:p>
    <w:p w:rsidR="009A4541" w:rsidRPr="00377428" w:rsidRDefault="00377428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</w:t>
      </w:r>
    </w:p>
    <w:p w:rsidR="009A4541" w:rsidRPr="00377428" w:rsidRDefault="003774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50 см</w:t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Вокруг ринга должно быть определённое для каждого класса свободное пространство. Оно может быть любого цвета, формы, из любого материала. Пространство с рингом в центре, любые маркировки или части платформы с рингом, выходящие за пределы минимальных размер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называется «зона ринга».</w:t>
      </w:r>
    </w:p>
    <w:p w:rsidR="009A4541" w:rsidRPr="00377428" w:rsidRDefault="00377428">
      <w:pPr>
        <w:numPr>
          <w:ilvl w:val="0"/>
          <w:numId w:val="32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матча.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команде судьи, две команды подходят к рингу, чтобы поставить на него роботов.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Ринг условно делится на 4 квадранта. Роботы всегда должны ставиться в двух противоположных квадрантах. Каждый робот должен смотреть в противоположную сторону от противника. Робот может быть поставлен в любом месте внутри квадранта. После расстановки робото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 нельзя больше перемещать.</w:t>
      </w:r>
    </w:p>
    <w:p w:rsidR="009A4541" w:rsidRPr="00377428" w:rsidRDefault="00377428">
      <w:pPr>
        <w:shd w:val="clear" w:color="auto" w:fill="F5F5F5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5A5C1D9F" wp14:editId="1AE950FA">
            <wp:extent cx="2971800" cy="2695575"/>
            <wp:effectExtent l="0" t="0" r="0" b="0"/>
            <wp:docPr id="2" name="image2.png" descr="hello_html_318d2b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ello_html_318d2b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541" w:rsidRPr="00377428" w:rsidRDefault="00377428">
      <w:pPr>
        <w:shd w:val="clear" w:color="auto" w:fill="F5F5F5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  <w:r w:rsidRPr="00377428">
        <w:rPr>
          <w:rFonts w:ascii="Arial" w:eastAsia="Arial" w:hAnsi="Arial" w:cs="Arial"/>
          <w:color w:val="000000"/>
          <w:sz w:val="24"/>
          <w:szCs w:val="24"/>
        </w:rPr>
        <w:br/>
      </w:r>
    </w:p>
    <w:p w:rsidR="009A4541" w:rsidRPr="00377428" w:rsidRDefault="009A4541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Расстановка роботов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старта (начало раунда) команды запускают роботов, и после пятисекундной паузы роботы могут начать действовать. В течение этих пяти секунд игроки должны покинуть зону ринга.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Матч останавливается 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возобновляется, когда судья объявляет об этом.</w:t>
      </w:r>
    </w:p>
    <w:p w:rsidR="009A4541" w:rsidRPr="00377428" w:rsidRDefault="00377428">
      <w:pPr>
        <w:numPr>
          <w:ilvl w:val="0"/>
          <w:numId w:val="23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матчей Сумо.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матч состоит до 3 раундов, каждый раунд длится до 90 секунд. Время раунда может быть продлено судьями;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Команда, выигравшая два раунда, или первая, получившая два очка в ук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азанный период времени, выигрывает матч. Команда получает очко, когда выигрывает раунд. Если время вышло прежде, чем одна из команд получила два очка, и у одной из команд уже есть очко, то команда с одним очком выигрывает;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ни одна из команд не может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выиграть матч в указанный период времени, может быть проведён дополнительный матч, в котором побеждает команда, первая получившая очко.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/проигравший в матче может быть определён судьями посредством голосования или по результатам переигровки; одно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очко даётся победителю, если победитель определяется судьёй или голосованием среди судей.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Матч заканчивается, когда судья об этом объявляет. Команды забирают роботов из зоны ринга.</w:t>
      </w:r>
    </w:p>
    <w:p w:rsidR="009A4541" w:rsidRPr="00377428" w:rsidRDefault="00377428">
      <w:pPr>
        <w:numPr>
          <w:ilvl w:val="0"/>
          <w:numId w:val="24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матча</w:t>
      </w:r>
    </w:p>
    <w:p w:rsidR="009A4541" w:rsidRPr="00377428" w:rsidRDefault="009A4541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numPr>
          <w:ilvl w:val="1"/>
          <w:numId w:val="25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матча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до 3 раундов, каждый длительностью до 90 секунд, начало и конец — по команде судьи.</w:t>
      </w:r>
    </w:p>
    <w:p w:rsidR="009A4541" w:rsidRPr="00377428" w:rsidRDefault="009A4541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numPr>
          <w:ilvl w:val="1"/>
          <w:numId w:val="26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время матча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судья назначил дополнительный раунд, то такой раунд длится максимум 90 секунд.</w:t>
      </w:r>
    </w:p>
    <w:p w:rsidR="009A4541" w:rsidRPr="00377428" w:rsidRDefault="009A4541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numPr>
          <w:ilvl w:val="1"/>
          <w:numId w:val="27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Перерывы во время матча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 время не включ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в общее время матча: время, прошедшее после того, как судья объявляет присуждение очка и до того, как матч возобновляется (стандартная пауза перед возобновлением матча — 30 секунд);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прошедшее после того, как судья объявляет остановку в матче, и до того, как матч возобновляется.</w:t>
      </w:r>
    </w:p>
    <w:p w:rsidR="009A4541" w:rsidRPr="00377428" w:rsidRDefault="00377428">
      <w:pPr>
        <w:numPr>
          <w:ilvl w:val="0"/>
          <w:numId w:val="18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начисления очков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очко даётся, когда:</w:t>
      </w:r>
    </w:p>
    <w:p w:rsidR="009A4541" w:rsidRPr="00377428" w:rsidRDefault="00377428">
      <w:pPr>
        <w:numPr>
          <w:ilvl w:val="0"/>
          <w:numId w:val="19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 в соответствии с правилами вынуждает робота-соперника коснуться пространства вне ринга, включая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боковую сторону ринга (в течение основного времени или в момент, когда окончание матча);</w:t>
      </w:r>
    </w:p>
    <w:p w:rsidR="009A4541" w:rsidRPr="00377428" w:rsidRDefault="00377428">
      <w:pPr>
        <w:numPr>
          <w:ilvl w:val="0"/>
          <w:numId w:val="19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робот-соперник коснулся пространства вне ринга сам по себе (в течение основного времени или в момент, когда окончание матча); когда робот опрокидывается на ринге, или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 аналогичных случаях, очко не засчитывается, и матч продолжается.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определения победителя: техническая изощрённость движений и действий робота; штрафные очки за время матча; поведение игроков во время матча.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Матч должен быть остановлен и назначена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переигровка в следующих случаях:</w:t>
      </w:r>
    </w:p>
    <w:p w:rsidR="009A4541" w:rsidRPr="00377428" w:rsidRDefault="00377428">
      <w:pPr>
        <w:numPr>
          <w:ilvl w:val="0"/>
          <w:numId w:val="2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роботы сцепились или кружат вокруг друг друга без заметного результата в течение 5 секунд. Если неясно, есть ли результат, судья может продлить время наблюдения до 30 секунд;</w:t>
      </w:r>
    </w:p>
    <w:p w:rsidR="009A4541" w:rsidRPr="00377428" w:rsidRDefault="00377428">
      <w:pPr>
        <w:numPr>
          <w:ilvl w:val="0"/>
          <w:numId w:val="2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оба робота перемещаются безрезультатно или останавливаются (точно одновременно) на 5 секунд, не трогая друг друга. В случае если один робот первый перестаёт двигаться, после 5 секунд он объявляется нежелающим сражаться. В этом случае соперник получает очко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, даже если тоже останавливается. Если оба робота двигаются и неясно, есть ли результат, судья может продлить время наблюдения до 30 секунд;</w:t>
      </w:r>
    </w:p>
    <w:p w:rsidR="009A4541" w:rsidRPr="00377428" w:rsidRDefault="00377428">
      <w:pPr>
        <w:numPr>
          <w:ilvl w:val="0"/>
          <w:numId w:val="20"/>
        </w:numPr>
        <w:shd w:val="clear" w:color="auto" w:fill="FFFFFF"/>
        <w:spacing w:after="0"/>
        <w:ind w:left="0"/>
        <w:rPr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оба робота касаются пространства за пределами ринга в одно и то же время, и невозможно определить, кто коснулс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первым, назначается переигровка.</w:t>
      </w:r>
    </w:p>
    <w:p w:rsidR="009A4541" w:rsidRPr="00377428" w:rsidRDefault="00377428">
      <w:pPr>
        <w:numPr>
          <w:ilvl w:val="0"/>
          <w:numId w:val="21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</w:t>
      </w:r>
    </w:p>
    <w:p w:rsidR="009A4541" w:rsidRPr="00377428" w:rsidRDefault="009A454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numPr>
          <w:ilvl w:val="1"/>
          <w:numId w:val="3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Игроки, нарушившие технические требования к роботам, а также причинили травму или повреждение роботу - сопернику, объявляются нарушителями правил Турнира.</w:t>
      </w:r>
    </w:p>
    <w:p w:rsidR="009A4541" w:rsidRPr="00377428" w:rsidRDefault="00377428">
      <w:pPr>
        <w:numPr>
          <w:ilvl w:val="1"/>
          <w:numId w:val="3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Игрок, который высказывает оскорбительные слова сопернику, судье, или встраивает устройства воспроизведения в робота, произносящие оскорбления, или пишет оскорбления на корпусе робота, или проделывает любые оскорбляющие действия, нарушает правила.</w:t>
      </w:r>
    </w:p>
    <w:p w:rsidR="009A4541" w:rsidRPr="00377428" w:rsidRDefault="00377428">
      <w:pPr>
        <w:numPr>
          <w:ilvl w:val="1"/>
          <w:numId w:val="3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 нарушение объявляется, если игрок: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 на ринг во время матча (часть тела игрока находится на ринге, игрок кладёт любые механические приспособления на ринг, например, чтобы отремонтировать робота), кроме случаев, когда игрок убирает робота с ринг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а после остановки судьей матча;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 остановить матч без веских причин;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тратит более 30 секунд на подготовку до возобновления матча, если только судья не продлил время;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 начинает действовать спустя пять секунд после начала матча; делает или говорит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то, что ставит под сомнение честность матча.</w:t>
      </w:r>
    </w:p>
    <w:p w:rsidR="009A4541" w:rsidRPr="00377428" w:rsidRDefault="00377428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Шрафы</w:t>
      </w:r>
      <w:proofErr w:type="spellEnd"/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Игроки, которые нарушают правила Турнира, совершая действия, описанные в разделах 5.1.-5.2., проигрывают матч. Судья даёт два очка сопернику и обязывает нарушителя покинуть ринг. Нарушитель не наделяется 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никакими правами.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Нарушения, описанные в разделе 5.3. накапливаются в течение одного матча. Два таких нарушения приносят одно очко сопернику.</w:t>
      </w:r>
    </w:p>
    <w:p w:rsidR="009A4541" w:rsidRPr="00377428" w:rsidRDefault="00377428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 и повреждения в течение матча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 может попросить остановить матч, если он/она получил травму или робот п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олучил повреждение и игра не может продолжаться.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Игрок, который причинил эту травму или повреждение, проигрывает матч, если игра не может продолжаться из-за травмы игрока или повреждения робота - соперника.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Игрок, который не может продолжать игру или проси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т остановить игру, проигрывает матч, если неясно, какая команда является причиной повреждения.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судьей и членов оргкомитета о продолжении/остановке игры в случае травмы или аварии принимается в течение 5 (пяти) минут.</w:t>
      </w:r>
    </w:p>
    <w:p w:rsidR="009A4541" w:rsidRPr="00377428" w:rsidRDefault="00377428">
      <w:pPr>
        <w:shd w:val="clear" w:color="auto" w:fill="FFFFFF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Победитель, определённый на осн</w:t>
      </w:r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овании положений раздела 7.2, получает два игровых очка.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Проигравший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уже получил одно очко, по- прежнему считается проигравшим. Когда </w:t>
      </w:r>
      <w:proofErr w:type="gramStart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ситуация, описанная в разделе 7.2 происходит</w:t>
      </w:r>
      <w:proofErr w:type="gramEnd"/>
      <w:r w:rsidRPr="0037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продлённом матче, победитель получает одно игровое очко.</w:t>
      </w:r>
    </w:p>
    <w:p w:rsidR="009A4541" w:rsidRPr="00377428" w:rsidRDefault="009A4541">
      <w:pPr>
        <w:shd w:val="clear" w:color="auto" w:fill="F5F5F5"/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9A4541">
      <w:pPr>
        <w:shd w:val="clear" w:color="auto" w:fill="F5F5F5"/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9A4541" w:rsidRPr="00377428" w:rsidRDefault="00377428">
      <w:pPr>
        <w:shd w:val="clear" w:color="auto" w:fill="E1E4D5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77428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9A4541" w:rsidRPr="00377428" w:rsidRDefault="009A4541">
      <w:pPr>
        <w:rPr>
          <w:sz w:val="24"/>
          <w:szCs w:val="24"/>
        </w:rPr>
      </w:pPr>
    </w:p>
    <w:sectPr w:rsidR="009A4541" w:rsidRPr="003774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F14"/>
    <w:multiLevelType w:val="multilevel"/>
    <w:tmpl w:val="F09E9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18B6823"/>
    <w:multiLevelType w:val="multilevel"/>
    <w:tmpl w:val="930236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2176AE9"/>
    <w:multiLevelType w:val="multilevel"/>
    <w:tmpl w:val="56EAA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7DB0250"/>
    <w:multiLevelType w:val="multilevel"/>
    <w:tmpl w:val="A7F618BC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EB322DD"/>
    <w:multiLevelType w:val="multilevel"/>
    <w:tmpl w:val="86DA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4A9524E"/>
    <w:multiLevelType w:val="multilevel"/>
    <w:tmpl w:val="7EA04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6572B0B"/>
    <w:multiLevelType w:val="multilevel"/>
    <w:tmpl w:val="07D00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9003D43"/>
    <w:multiLevelType w:val="multilevel"/>
    <w:tmpl w:val="D856DA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EA430FE"/>
    <w:multiLevelType w:val="multilevel"/>
    <w:tmpl w:val="7BAAA0B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0CC66F4"/>
    <w:multiLevelType w:val="multilevel"/>
    <w:tmpl w:val="E166C39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28B783F"/>
    <w:multiLevelType w:val="multilevel"/>
    <w:tmpl w:val="984C2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29E903AA"/>
    <w:multiLevelType w:val="multilevel"/>
    <w:tmpl w:val="848E9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883513"/>
    <w:multiLevelType w:val="multilevel"/>
    <w:tmpl w:val="CE82C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7340C3F"/>
    <w:multiLevelType w:val="multilevel"/>
    <w:tmpl w:val="0D90C3EE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399F4DA8"/>
    <w:multiLevelType w:val="multilevel"/>
    <w:tmpl w:val="FA9CB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3BB675F0"/>
    <w:multiLevelType w:val="multilevel"/>
    <w:tmpl w:val="A01E1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3D4C6009"/>
    <w:multiLevelType w:val="multilevel"/>
    <w:tmpl w:val="1A301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3D6171C4"/>
    <w:multiLevelType w:val="multilevel"/>
    <w:tmpl w:val="5DE0E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408D2837"/>
    <w:multiLevelType w:val="multilevel"/>
    <w:tmpl w:val="E3D04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488E39C4"/>
    <w:multiLevelType w:val="multilevel"/>
    <w:tmpl w:val="C1DCA0E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49337931"/>
    <w:multiLevelType w:val="multilevel"/>
    <w:tmpl w:val="4056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49B84AE7"/>
    <w:multiLevelType w:val="multilevel"/>
    <w:tmpl w:val="69045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4D1C7B38"/>
    <w:multiLevelType w:val="multilevel"/>
    <w:tmpl w:val="BF34BFB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571208DA"/>
    <w:multiLevelType w:val="multilevel"/>
    <w:tmpl w:val="9418F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639924C5"/>
    <w:multiLevelType w:val="multilevel"/>
    <w:tmpl w:val="B624339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61512C0"/>
    <w:multiLevelType w:val="multilevel"/>
    <w:tmpl w:val="F642C48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BD87DCA"/>
    <w:multiLevelType w:val="multilevel"/>
    <w:tmpl w:val="015225F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6CEE3F5E"/>
    <w:multiLevelType w:val="multilevel"/>
    <w:tmpl w:val="22F6B3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1">
    <w:nsid w:val="6E714368"/>
    <w:multiLevelType w:val="multilevel"/>
    <w:tmpl w:val="78C0CB6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720C07DB"/>
    <w:multiLevelType w:val="multilevel"/>
    <w:tmpl w:val="310E6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>
    <w:nsid w:val="73A72BE1"/>
    <w:multiLevelType w:val="multilevel"/>
    <w:tmpl w:val="416A1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768B0C90"/>
    <w:multiLevelType w:val="multilevel"/>
    <w:tmpl w:val="416E9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>
    <w:nsid w:val="7D711D38"/>
    <w:multiLevelType w:val="multilevel"/>
    <w:tmpl w:val="6A28E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8"/>
  </w:num>
  <w:num w:numId="5">
    <w:abstractNumId w:val="16"/>
  </w:num>
  <w:num w:numId="6">
    <w:abstractNumId w:val="4"/>
  </w:num>
  <w:num w:numId="7">
    <w:abstractNumId w:val="17"/>
  </w:num>
  <w:num w:numId="8">
    <w:abstractNumId w:val="3"/>
  </w:num>
  <w:num w:numId="9">
    <w:abstractNumId w:val="10"/>
  </w:num>
  <w:num w:numId="10">
    <w:abstractNumId w:val="35"/>
  </w:num>
  <w:num w:numId="11">
    <w:abstractNumId w:val="11"/>
  </w:num>
  <w:num w:numId="12">
    <w:abstractNumId w:val="26"/>
  </w:num>
  <w:num w:numId="13">
    <w:abstractNumId w:val="5"/>
  </w:num>
  <w:num w:numId="14">
    <w:abstractNumId w:val="7"/>
  </w:num>
  <w:num w:numId="15">
    <w:abstractNumId w:val="24"/>
  </w:num>
  <w:num w:numId="16">
    <w:abstractNumId w:val="0"/>
  </w:num>
  <w:num w:numId="17">
    <w:abstractNumId w:val="1"/>
  </w:num>
  <w:num w:numId="18">
    <w:abstractNumId w:val="8"/>
  </w:num>
  <w:num w:numId="19">
    <w:abstractNumId w:val="20"/>
  </w:num>
  <w:num w:numId="20">
    <w:abstractNumId w:val="6"/>
  </w:num>
  <w:num w:numId="21">
    <w:abstractNumId w:val="29"/>
  </w:num>
  <w:num w:numId="22">
    <w:abstractNumId w:val="28"/>
  </w:num>
  <w:num w:numId="23">
    <w:abstractNumId w:val="25"/>
  </w:num>
  <w:num w:numId="24">
    <w:abstractNumId w:val="27"/>
  </w:num>
  <w:num w:numId="25">
    <w:abstractNumId w:val="19"/>
  </w:num>
  <w:num w:numId="26">
    <w:abstractNumId w:val="33"/>
  </w:num>
  <w:num w:numId="27">
    <w:abstractNumId w:val="23"/>
  </w:num>
  <w:num w:numId="28">
    <w:abstractNumId w:val="34"/>
  </w:num>
  <w:num w:numId="29">
    <w:abstractNumId w:val="22"/>
  </w:num>
  <w:num w:numId="30">
    <w:abstractNumId w:val="31"/>
  </w:num>
  <w:num w:numId="31">
    <w:abstractNumId w:val="32"/>
  </w:num>
  <w:num w:numId="32">
    <w:abstractNumId w:val="9"/>
  </w:num>
  <w:num w:numId="33">
    <w:abstractNumId w:val="12"/>
  </w:num>
  <w:num w:numId="34">
    <w:abstractNumId w:val="14"/>
  </w:num>
  <w:num w:numId="35">
    <w:abstractNumId w:val="1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4541"/>
    <w:rsid w:val="001535DA"/>
    <w:rsid w:val="002A4238"/>
    <w:rsid w:val="00377428"/>
    <w:rsid w:val="009A4541"/>
    <w:rsid w:val="00A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423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7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423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7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legoengineering.com%2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2022-12-12T19:01:00Z</dcterms:created>
  <dcterms:modified xsi:type="dcterms:W3CDTF">2022-12-12T19:28:00Z</dcterms:modified>
</cp:coreProperties>
</file>